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04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8"/>
        <w:gridCol w:w="1690"/>
        <w:gridCol w:w="1929"/>
        <w:gridCol w:w="1761"/>
        <w:gridCol w:w="1658"/>
        <w:gridCol w:w="1690"/>
      </w:tblGrid>
      <w:tr>
        <w:trPr/>
        <w:tc>
          <w:tcPr>
            <w:tcW w:w="17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" w:hAnsi="Century"/>
                <w:b/>
                <w:b/>
                <w:color w:val="FF0000"/>
              </w:rPr>
            </w:pPr>
            <w:r>
              <w:rPr/>
              <w:drawing>
                <wp:inline distT="0" distB="0" distL="0" distR="4445">
                  <wp:extent cx="910590" cy="619125"/>
                  <wp:effectExtent l="0" t="0" r="0" b="0"/>
                  <wp:docPr id="1" name="Image 1" descr="Résultat de recherche d'images pour &quot;snes fs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Résultat de recherche d'images pour &quot;snes fs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" w:hAnsi="Century"/>
                <w:b/>
                <w:b/>
                <w:color w:val="FF0000"/>
              </w:rPr>
            </w:pPr>
            <w:r>
              <w:rPr/>
              <w:drawing>
                <wp:inline distT="0" distB="0" distL="0" distR="0">
                  <wp:extent cx="800100" cy="685800"/>
                  <wp:effectExtent l="0" t="0" r="0" b="0"/>
                  <wp:docPr id="2" name="Image 2" descr="C:\Users\AAlix\AppData\Local\Temp\logo snu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Alix\AppData\Local\Temp\logo snu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" w:hAnsi="Century"/>
                <w:b/>
                <w:b/>
                <w:color w:val="FF0000"/>
              </w:rPr>
            </w:pPr>
            <w:r>
              <w:rPr/>
              <w:drawing>
                <wp:inline distT="0" distB="0" distL="19050" distR="0">
                  <wp:extent cx="1068070" cy="665480"/>
                  <wp:effectExtent l="0" t="0" r="0" b="0"/>
                  <wp:docPr id="3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" w:hAnsi="Century"/>
                <w:b/>
                <w:b/>
                <w:color w:val="FF0000"/>
              </w:rPr>
            </w:pPr>
            <w:r>
              <w:rPr/>
              <w:drawing>
                <wp:inline distT="0" distB="0" distL="0" distR="0">
                  <wp:extent cx="971550" cy="999490"/>
                  <wp:effectExtent l="0" t="0" r="0" b="0"/>
                  <wp:docPr id="4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" w:hAnsi="Century"/>
                <w:b/>
                <w:b/>
                <w:color w:val="FF0000"/>
              </w:rPr>
            </w:pPr>
            <w:r>
              <w:rPr/>
              <w:drawing>
                <wp:inline distT="0" distB="7620" distL="0" distR="0">
                  <wp:extent cx="724535" cy="1002030"/>
                  <wp:effectExtent l="0" t="0" r="0" b="0"/>
                  <wp:docPr id="5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" w:hAnsi="Century"/>
                <w:b/>
                <w:b/>
                <w:color w:val="FF0000"/>
              </w:rPr>
            </w:pPr>
            <w:r>
              <w:rPr/>
              <w:drawing>
                <wp:inline distT="0" distB="0" distL="0" distR="0">
                  <wp:extent cx="800100" cy="618490"/>
                  <wp:effectExtent l="0" t="0" r="0" b="0"/>
                  <wp:docPr id="6" name="Image 6" descr="Résultat de recherche d'images pour &quot;sud edu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Résultat de recherche d'images pour &quot;sud edu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Century" w:hAnsi="Century"/>
          <w:b/>
          <w:b/>
          <w:color w:val="FF0000"/>
        </w:rPr>
      </w:pPr>
      <w:r>
        <w:rPr>
          <w:rFonts w:ascii="Century" w:hAnsi="Century"/>
          <w:b/>
          <w:color w:val="FF0000"/>
        </w:rPr>
      </w:r>
    </w:p>
    <w:p>
      <w:pPr>
        <w:pStyle w:val="Normal"/>
        <w:jc w:val="center"/>
        <w:rPr>
          <w:rFonts w:ascii="Century" w:hAnsi="Century"/>
          <w:b/>
          <w:b/>
          <w:color w:val="FF0000"/>
        </w:rPr>
      </w:pPr>
      <w:r>
        <w:rPr>
          <w:rFonts w:ascii="Century" w:hAnsi="Century"/>
          <w:b/>
          <w:color w:val="FF0000"/>
        </w:rPr>
      </w:r>
    </w:p>
    <w:p>
      <w:pPr>
        <w:pStyle w:val="Normal"/>
        <w:jc w:val="center"/>
        <w:rPr>
          <w:rFonts w:ascii="Century" w:hAnsi="Century"/>
          <w:b/>
          <w:b/>
          <w:color w:val="FF0000"/>
          <w:sz w:val="32"/>
          <w:szCs w:val="32"/>
        </w:rPr>
      </w:pPr>
      <w:r>
        <w:rPr>
          <w:rFonts w:ascii="Century" w:hAnsi="Century"/>
          <w:b/>
          <w:color w:val="FF0000"/>
          <w:sz w:val="32"/>
          <w:szCs w:val="32"/>
        </w:rPr>
        <w:t>COMMUNIQUE</w:t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</w:rPr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</w:rPr>
        <w:t xml:space="preserve">Les organisations syndicales de Côte d’Or (SNES-FSU, SNUEP-FSU, SNFOLC, SNETAA-FO, CGT Educ’action, Sud Education) se sont réunies en intersyndicale le 6 janvier. </w:t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  <w:b/>
        </w:rPr>
        <w:t>Un CTA portant sur la carte des spécialités et options dans la réforme du lycée, est prévu le 9 janvier 2019 à partir de 9h30</w:t>
      </w:r>
      <w:r>
        <w:rPr>
          <w:rFonts w:ascii="Century" w:hAnsi="Century"/>
        </w:rPr>
        <w:t>.</w:t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</w:rPr>
        <w:t>Quelles que soient les conditions dans lesquelles cett</w:t>
      </w:r>
      <w:bookmarkStart w:id="0" w:name="_GoBack"/>
      <w:bookmarkEnd w:id="0"/>
      <w:r>
        <w:rPr>
          <w:rFonts w:ascii="Century" w:hAnsi="Century"/>
        </w:rPr>
        <w:t>e carte pourra être aménagée ou amendée lors du CTA, la discussion sur l’implantation des spécialités et options établissement par établissement ne saurait suffire à la satisfaction des revendications suivantes portées par les organisations syndicales :</w:t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  <w:b/>
        </w:rPr>
        <w:t>- retrait de la réforme du lycée  avec le maintien du bac comme diplôme national et premier grade universitaire</w:t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  <w:b/>
        </w:rPr>
        <w:t>- retrait de la réforme de la voie professionnelle et aucune suppression de section</w:t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  <w:b/>
        </w:rPr>
        <w:t>- retrait de la loi ORE et du dispositif Parcoursup.</w:t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  <w:b/>
        </w:rPr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  <w:b/>
        </w:rPr>
        <w:t>Les organisations syndicales appellent les enseignants à se réunir en AG dans chaque établissement, à décider de la grève</w:t>
      </w:r>
      <w:r>
        <w:rPr>
          <w:rFonts w:ascii="Century" w:hAnsi="Century"/>
        </w:rPr>
        <w:t xml:space="preserve">, et à prendre part à un </w:t>
      </w:r>
      <w:r>
        <w:rPr>
          <w:rFonts w:ascii="Century" w:hAnsi="Century"/>
          <w:b/>
        </w:rPr>
        <w:t>rassemblement devant le Rectorat lors de la tenue du CTA du 9 janvier, à 12h30.</w:t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</w:rPr>
        <w:t xml:space="preserve">Elles sont prêtes à engager une </w:t>
      </w:r>
      <w:r>
        <w:rPr>
          <w:rFonts w:ascii="Century" w:hAnsi="Century"/>
          <w:b/>
        </w:rPr>
        <w:t>mobilisation jusqu’à satisfaction des revendications, y compris par la grève reconductible</w:t>
      </w:r>
      <w:r>
        <w:rPr>
          <w:rFonts w:ascii="Century" w:hAnsi="Century"/>
        </w:rPr>
        <w:t xml:space="preserve">. </w:t>
      </w:r>
    </w:p>
    <w:p>
      <w:pPr>
        <w:pStyle w:val="Normal"/>
        <w:rPr>
          <w:rFonts w:ascii="Century" w:hAnsi="Century"/>
          <w:b/>
          <w:b/>
        </w:rPr>
      </w:pPr>
      <w:r>
        <w:rPr>
          <w:rFonts w:ascii="Century" w:hAnsi="Century"/>
        </w:rPr>
        <w:t xml:space="preserve">Dans cette perspective, elles appellent également à une </w:t>
      </w:r>
      <w:r>
        <w:rPr>
          <w:rFonts w:ascii="Century" w:hAnsi="Century"/>
          <w:b/>
        </w:rPr>
        <w:t xml:space="preserve">AG inter établissements le mardi 8 janvier à la Bourse du Travail à 12h00. </w:t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</w:rPr>
      </w:r>
    </w:p>
    <w:p>
      <w:pPr>
        <w:pStyle w:val="Normal"/>
        <w:jc w:val="right"/>
        <w:rPr>
          <w:rFonts w:ascii="Century" w:hAnsi="Century"/>
          <w:i/>
          <w:i/>
        </w:rPr>
      </w:pPr>
      <w:r>
        <w:rPr>
          <w:rFonts w:ascii="Century" w:hAnsi="Century"/>
          <w:i/>
        </w:rPr>
        <w:t>Fait à Dijon le 6 janvier 2019</w:t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</w:rPr>
      </w:r>
    </w:p>
    <w:p>
      <w:pPr>
        <w:pStyle w:val="Normal"/>
        <w:rPr>
          <w:rFonts w:ascii="Century" w:hAnsi="Century"/>
        </w:rPr>
      </w:pPr>
      <w:r>
        <w:rPr>
          <w:rFonts w:ascii="Century" w:hAnsi="Century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18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9185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918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918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LibreOffice/5.1.6.2$Windows_x86 LibreOffice_project/07ac168c60a517dba0f0d7bc7540f5afa45f0909</Application>
  <Pages>1</Pages>
  <Words>214</Words>
  <CharactersWithSpaces>1180</CharactersWithSpaces>
  <Paragraphs>2</Paragraphs>
  <Company>Nihil Corp.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2019-01-07T20:40:00Z</dcterms:created>
  <dc:creator>Nihil</dc:creator>
  <dc:description/>
  <dc:language>fr-FR</dc:language>
  <cp:lastModifiedBy>Carine Tourneur</cp:lastModifiedBy>
  <dcterms:modified xsi:type="dcterms:W3CDTF">2019-01-07T20:40:00Z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Nihil Corp.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