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6913FF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C53ED9">
        <w:rPr>
          <w:rFonts w:ascii="Arial" w:hAnsi="Arial" w:cs="Arial"/>
          <w:sz w:val="28"/>
          <w:szCs w:val="28"/>
        </w:rPr>
        <w:t>1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224C0D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Lundi </w:t>
      </w:r>
      <w:r w:rsidR="006913FF">
        <w:rPr>
          <w:rFonts w:ascii="Arial" w:hAnsi="Arial" w:cs="Arial"/>
          <w:b/>
          <w:sz w:val="24"/>
          <w:szCs w:val="24"/>
        </w:rPr>
        <w:t>5 avril 2021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224C0D">
        <w:rPr>
          <w:rFonts w:ascii="Arial" w:hAnsi="Arial" w:cs="Arial"/>
          <w:b/>
          <w:u w:val="single"/>
        </w:rPr>
        <w:t>lundi 5 avril 2021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3877B2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B2" w:rsidRDefault="003877B2" w:rsidP="00B07534">
      <w:r>
        <w:separator/>
      </w:r>
    </w:p>
  </w:endnote>
  <w:endnote w:type="continuationSeparator" w:id="0">
    <w:p w:rsidR="003877B2" w:rsidRDefault="003877B2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B2" w:rsidRDefault="003877B2" w:rsidP="00B07534">
      <w:r>
        <w:separator/>
      </w:r>
    </w:p>
  </w:footnote>
  <w:footnote w:type="continuationSeparator" w:id="0">
    <w:p w:rsidR="003877B2" w:rsidRDefault="003877B2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24C0D"/>
    <w:rsid w:val="00235D51"/>
    <w:rsid w:val="002976EC"/>
    <w:rsid w:val="002A6720"/>
    <w:rsid w:val="002F7A02"/>
    <w:rsid w:val="003613DB"/>
    <w:rsid w:val="0036367D"/>
    <w:rsid w:val="003641BB"/>
    <w:rsid w:val="00364A8B"/>
    <w:rsid w:val="0038113B"/>
    <w:rsid w:val="00381D89"/>
    <w:rsid w:val="00386F21"/>
    <w:rsid w:val="003877B2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913FF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A60B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7AC287-6C19-4D67-A164-285B637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cmonny</cp:lastModifiedBy>
  <cp:revision>2</cp:revision>
  <cp:lastPrinted>2017-11-03T07:10:00Z</cp:lastPrinted>
  <dcterms:created xsi:type="dcterms:W3CDTF">2021-02-04T18:00:00Z</dcterms:created>
  <dcterms:modified xsi:type="dcterms:W3CDTF">2021-02-04T18:00:00Z</dcterms:modified>
</cp:coreProperties>
</file>